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5.png" ContentType="image/png"/>
  <Override PartName="/word/media/rId42.png" ContentType="image/png"/>
  <Override PartName="/word/media/rId28.png" ContentType="image/png"/>
  <Override PartName="/word/media/rId43.png" ContentType="image/png"/>
  <Override PartName="/word/media/rId47.png" ContentType="image/png"/>
  <Override PartName="/word/media/rId27.png" ContentType="image/png"/>
  <Override PartName="/word/media/rId32.png" ContentType="image/png"/>
  <Override PartName="/word/media/rId5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2"/>
        </w:numPr>
        <w:pStyle w:val="Compact"/>
      </w:pPr>
      <w:r>
        <w:t xml:space="preserve">One or two sentences providing a basic introduction to the field, comprehensible to a scientist in any discipline.</w:t>
      </w:r>
    </w:p>
    <w:p>
      <w:pPr>
        <w:numPr>
          <w:ilvl w:val="0"/>
          <w:numId w:val="1002"/>
        </w:numPr>
        <w:pStyle w:val="Compact"/>
      </w:pPr>
      <w:r>
        <w:t xml:space="preserve">Two to three sentences ofmore detailed background, comprehensible to scientists in related disciplines.</w:t>
      </w:r>
    </w:p>
    <w:p>
      <w:pPr>
        <w:numPr>
          <w:ilvl w:val="0"/>
          <w:numId w:val="1002"/>
        </w:numPr>
        <w:pStyle w:val="Compact"/>
      </w:pPr>
      <w:r>
        <w:t xml:space="preserve">One sentence clearly stating the general problem being addressed by this particular study.</w:t>
      </w:r>
    </w:p>
    <w:p>
      <w:pPr>
        <w:numPr>
          <w:ilvl w:val="0"/>
          <w:numId w:val="1002"/>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2"/>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2"/>
        </w:numPr>
        <w:pStyle w:val="Compact"/>
      </w:pPr>
      <w:r>
        <w:t xml:space="preserve">One or two sentences to put the results into a more general context.</w:t>
      </w:r>
    </w:p>
    <w:p>
      <w:pPr>
        <w:numPr>
          <w:ilvl w:val="0"/>
          <w:numId w:val="1002"/>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514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51476"/>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(Helcoski et al, 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1"/>
    <w:bookmarkStart w:id="38" w:name="data-collection-and-preparation"/>
    <w:p>
      <w:pPr>
        <w:pStyle w:val="Heading2"/>
      </w:pPr>
      <w:r>
        <w:t xml:space="preserve">Data collection and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249907"/>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4249907"/>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McMahon &amp; Parker (2015)</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w:t>
      </w:r>
      <w:r>
        <w:rPr>
          <w:b/>
        </w:rPr>
        <w:t xml:space="preserve">???</w:t>
      </w:r>
      <w:r>
        <w:t xml:space="preserve">)</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w:t>
      </w:r>
      <w:r>
        <w:t xml:space="preserve"> </w:t>
      </w:r>
      <w:r>
        <w:rPr>
          <w:b/>
        </w:rPr>
        <w:t xml:space="preserve">???</w:t>
      </w:r>
      <w:r>
        <w:t xml:space="preserve">)</w:t>
      </w:r>
      <w:r>
        <w:t xml:space="preserve"> </w:t>
      </w:r>
      <w:r>
        <w:t xml:space="preserve">and trees found newly dead in annual tree mortality in 2016 and 2017</w:t>
      </w:r>
      <w:r>
        <w:t xml:space="preserve"> </w:t>
      </w:r>
      <w:r>
        <w:t xml:space="preserve">(</w:t>
      </w:r>
      <w:r>
        <w:rPr>
          <w:b/>
        </w:rPr>
        <w:t xml:space="preserve">???</w:t>
      </w:r>
      <w:r>
        <w:t xml:space="preserve">)</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w:t>
      </w:r>
      <w:r>
        <w:rPr>
          <w:b/>
        </w:rPr>
        <w:t xml:space="preserve">???</w:t>
      </w:r>
      <w:r>
        <w:t xml:space="preserve">;</w:t>
      </w:r>
      <w:r>
        <w:t xml:space="preserve"> </w:t>
      </w:r>
      <w:r>
        <w:rPr>
          <w:b/>
        </w:rPr>
        <w:t xml:space="preserve">???</w:t>
      </w:r>
      <w:r>
        <w:t xml:space="preserve">)</w:t>
      </w:r>
      <w:r>
        <w:t xml:space="preserve">.</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i/>
        </w:rPr>
        <w:t xml:space="preserve"> </w:t>
      </w:r>
      <w:r>
        <w:rPr>
          <w:i/>
        </w:rPr>
        <w:t xml:space="preserve">(</w:t>
      </w:r>
      <w:r>
        <w:rPr>
          <w:b/>
          <w:i/>
        </w:rPr>
        <w:t xml:space="preserve">???</w:t>
      </w:r>
      <w:r>
        <w:rPr>
          <w:i/>
        </w:rPr>
        <w:t xml:space="preserve">)</w:t>
      </w:r>
      <w:r>
        <w:rPr>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i/>
        </w:rPr>
        <w:t xml:space="preserve"> </w:t>
      </w:r>
      <w:r>
        <w:rPr>
          <w:i/>
        </w:rPr>
        <w:t xml:space="preserve">(</w:t>
      </w:r>
      <w:r>
        <w:rPr>
          <w:b/>
          <w:i/>
        </w:rPr>
        <w:t xml:space="preserve">???</w:t>
      </w:r>
      <w:r>
        <w:rPr>
          <w:i/>
        </w:rPr>
        <w:t xml:space="preserve">)</w:t>
      </w:r>
      <w:r>
        <w:rPr>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i/>
        </w:rPr>
        <w:t xml:space="preserve"> </w:t>
      </w:r>
      <w:r>
        <w:rPr>
          <w:i/>
        </w:rPr>
        <w:t xml:space="preserve">(</w:t>
      </w:r>
      <w:r>
        <w:rPr>
          <w:b/>
          <w:i/>
        </w:rPr>
        <w:t xml:space="preserve">???</w:t>
      </w:r>
      <w:r>
        <w:rPr>
          <w:i/>
        </w:rPr>
        <w:t xml:space="preserve">)</w:t>
      </w:r>
      <w:r>
        <w:rPr>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i/>
        </w:rPr>
        <w:t xml:space="preserve"> </w:t>
      </w:r>
      <w:r>
        <w:rPr>
          <w:i/>
        </w:rPr>
        <w:t xml:space="preserve">(</w:t>
      </w:r>
      <w:r>
        <w:rPr>
          <w:b/>
          <w:i/>
        </w:rPr>
        <w:t xml:space="preserve">???</w:t>
      </w:r>
      <w:r>
        <w:rPr>
          <w:i/>
        </w:rPr>
        <w:t xml:space="preserve">)</w:t>
      </w:r>
      <w:r>
        <w:rPr>
          <w:i/>
        </w:rPr>
        <w:t xml:space="preserve">.</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w:t>
      </w:r>
      <w:r>
        <w:t xml:space="preserve"> </w:t>
      </w:r>
      <w:r>
        <w:rPr>
          <w:b/>
        </w:rPr>
        <w:t xml:space="preserve">???</w:t>
      </w:r>
      <w:r>
        <w:t xml:space="preserve">)</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w:t>
      </w:r>
      <w:r>
        <w:rPr>
          <w:b/>
        </w:rPr>
        <w:t xml:space="preserve">???</w:t>
      </w:r>
      <w:r>
        <w:t xml:space="preserve">)</w:t>
      </w:r>
      <w:r>
        <w:t xml:space="preserve">, again via the ForestGEO Climate Data Portal v1.0</w:t>
      </w:r>
      <w:r>
        <w:t xml:space="preserve"> </w:t>
      </w:r>
      <w:r>
        <w:t xml:space="preserve">(</w:t>
      </w:r>
      <w:r>
        <w:rPr>
          <w:b/>
        </w:rPr>
        <w:t xml:space="preserve">???</w:t>
      </w:r>
      <w:r>
        <w:t xml:space="preserve">)</w:t>
      </w:r>
      <w:r>
        <w:t xml:space="preserve">.</w:t>
      </w:r>
    </w:p>
    <w:bookmarkEnd w:id="37"/>
    <w:bookmarkEnd w:id="38"/>
    <w:bookmarkStart w:id="39"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 </w:t>
      </w:r>
      <w:r>
        <w:t xml:space="preserve">(</w:t>
      </w:r>
      <w:r>
        <w:rPr>
          <w:b/>
        </w:rPr>
        <w:t xml:space="preserve">???</w:t>
      </w:r>
      <w:r>
        <w:t xml:space="preserve">)</w:t>
      </w:r>
      <w:r>
        <w:t xml:space="preserve">.</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t xml:space="preserve"> </w:t>
      </w:r>
      <w:r>
        <w:t xml:space="preserve">(</w:t>
      </w:r>
      <w:r>
        <w:rPr>
          <w:b/>
        </w:rPr>
        <w:t xml:space="preserve">???</w:t>
      </w:r>
      <w:r>
        <w:t xml:space="preserve">)</w:t>
      </w:r>
      <w:r>
        <w:t xml:space="preserve">. Determining the climate variables that most strongly control all parameters is beyond the scope of this analysis.</w:t>
      </w:r>
    </w:p>
    <w:bookmarkEnd w:id="39"/>
    <w:bookmarkStart w:id="40"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t xml:space="preserve"> </w:t>
      </w:r>
      <w:r>
        <w:t xml:space="preserve">(</w:t>
      </w:r>
      <w:r>
        <w:rPr>
          <w:b/>
        </w:rPr>
        <w:t xml:space="preserve">???</w:t>
      </w:r>
      <w:r>
        <w:t xml:space="preserve">)</w:t>
      </w:r>
      <w:r>
        <w:t xml:space="preserve">.</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2"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243773"/>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243773"/>
                    </a:xfrm>
                    <a:prstGeom prst="rect">
                      <a:avLst/>
                    </a:prstGeom>
                    <a:noFill/>
                    <a:ln w="9525">
                      <a:noFill/>
                      <a:headEnd/>
                      <a:tailEnd/>
                    </a:ln>
                  </pic:spPr>
                </pic:pic>
              </a:graphicData>
            </a:graphic>
          </wp:inline>
        </w:drawing>
      </w:r>
    </w:p>
    <w:bookmarkEnd w:id="44"/>
    <w:bookmarkStart w:id="4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5"/>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w:t>
      </w:r>
      <w:r>
        <w:t xml:space="preserve"> </w:t>
      </w:r>
      <w:r>
        <w:rPr>
          <w:rStyle w:val="VerbatimChar"/>
        </w:rPr>
        <w:t xml:space="preserve">r climwin_rp_DOY25_SCBI</w:t>
      </w:r>
      <w:r>
        <w:t xml:space="preserve"> </w:t>
      </w:r>
      <w:r>
        <w:t xml:space="preserve">-</w:t>
      </w:r>
      <w:r>
        <w:t xml:space="preserve"> </w:t>
      </w:r>
      <w:r>
        <w:rPr>
          <w:rStyle w:val="VerbatimChar"/>
        </w:rPr>
        <w:t xml:space="preserve">climwin_dp_DOY25_SCBI</w:t>
      </w:r>
      <w:r>
        <w:t xml:space="preserve">).</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46"/>
    <w:bookmarkStart w:id="49" w:name="climate-sensitivity-of-phenology"/>
    <w:p>
      <w:pPr>
        <w:pStyle w:val="Heading2"/>
      </w:pPr>
      <w:r>
        <w:t xml:space="preserve">Climate sensitivity of phenology</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49"/>
    <w:bookmarkStart w:id="5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6, S5).</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6).</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S5).</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51"/>
    <w:bookmarkEnd w:id="52"/>
    <w:bookmarkStart w:id="54"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6 years at HF), the signal is clear and consistent: for both species groups at both sites, warmer temperatures during virtually any part of the spring led to significantly earlier achievement of growth milestones (Table 1, Figs. 3-5).</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(Table 1, Fig. 4),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6).</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 at SCBI the strongest temperature sensitivity aligned with peak growing season</w:t>
      </w:r>
      <w:r>
        <w:t xml:space="preserve"> </w:t>
      </w:r>
      <w:r>
        <w:t xml:space="preserve">(</w:t>
      </w:r>
      <w:r>
        <w:rPr>
          <w:b/>
        </w:rPr>
        <w:t xml:space="preserve">???</w:t>
      </w:r>
      <w:r>
        <w:t xml:space="preserve">)</w:t>
      </w:r>
      <w:r>
        <w:t xml:space="preserve">, whereas there were fewer significant climate correlations for the species at Harvard Forest (Fig. 6).</w:t>
      </w:r>
      <w:r>
        <w:t xml:space="preserve"> </w:t>
      </w:r>
      <w:r>
        <w:t xml:space="preserve">Relative to other temperate deciduous forest sites, the pattern at SCBI tends to be more typical: annual growth is most commonly controlled by climate conditions during the peak growing season.</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(Figs. 3- 5).</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bookmarkStart w:id="53" w:name="cams-previous-content"/>
    <w:p>
      <w:pPr>
        <w:pStyle w:val="Heading2"/>
      </w:pPr>
      <w:r>
        <w:t xml:space="preserve">Cam’s previous content</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3"/>
    <w:bookmarkEnd w:id="54"/>
    <w:bookmarkStart w:id="55" w:name="content-to-incorporate"/>
    <w:p>
      <w:pPr>
        <w:pStyle w:val="Heading1"/>
      </w:pP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5"/>
    <w:bookmarkStart w:id="56"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56"/>
    <w:bookmarkStart w:id="57" w:name="author-contributions"/>
    <w:p>
      <w:pPr>
        <w:pStyle w:val="Heading1"/>
      </w:pPr>
      <w:r>
        <w:t xml:space="preserve">Author Contributions</w:t>
      </w:r>
    </w:p>
    <w:bookmarkEnd w:id="57"/>
    <w:bookmarkStart w:id="58"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8"/>
    <w:bookmarkStart w:id="77" w:name="references"/>
    <w:p>
      <w:pPr>
        <w:pStyle w:val="Heading1"/>
      </w:pPr>
      <w:r>
        <w:t xml:space="preserve">References</w:t>
      </w:r>
    </w:p>
    <w:bookmarkStart w:id="76" w:name="refs"/>
    <w:bookmarkStart w:id="59"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59"/>
    <w:bookmarkStart w:id="61"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0">
        <w:r>
          <w:rPr>
            <w:rStyle w:val="Hyperlink"/>
          </w:rPr>
          <w:t xml:space="preserve">https://doi.org/10.1111/j.1365-2486.2005.001012.x</w:t>
        </w:r>
      </w:hyperlink>
    </w:p>
    <w:bookmarkEnd w:id="61"/>
    <w:bookmarkStart w:id="63"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2">
        <w:r>
          <w:rPr>
            <w:rStyle w:val="Hyperlink"/>
          </w:rPr>
          <w:t xml:space="preserve">https://doi.org/10.1175/JCLI3800.1</w:t>
        </w:r>
      </w:hyperlink>
    </w:p>
    <w:bookmarkEnd w:id="63"/>
    <w:bookmarkStart w:id="65"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4">
        <w:r>
          <w:rPr>
            <w:rStyle w:val="Hyperlink"/>
          </w:rPr>
          <w:t xml:space="preserve">https://doi.org/10.1111/gcb.14731</w:t>
        </w:r>
      </w:hyperlink>
    </w:p>
    <w:bookmarkEnd w:id="65"/>
    <w:bookmarkStart w:id="67"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6">
        <w:r>
          <w:rPr>
            <w:rStyle w:val="Hyperlink"/>
          </w:rPr>
          <w:t xml:space="preserve">https://doi.org/10.1038/nclimate2253</w:t>
        </w:r>
      </w:hyperlink>
    </w:p>
    <w:bookmarkEnd w:id="67"/>
    <w:bookmarkStart w:id="69"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8">
        <w:r>
          <w:rPr>
            <w:rStyle w:val="Hyperlink"/>
          </w:rPr>
          <w:t xml:space="preserve">https://doi.org/10.1002/ece3.1117</w:t>
        </w:r>
      </w:hyperlink>
    </w:p>
    <w:bookmarkEnd w:id="69"/>
    <w:bookmarkStart w:id="71"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0">
        <w:r>
          <w:rPr>
            <w:rStyle w:val="Hyperlink"/>
          </w:rPr>
          <w:t xml:space="preserve">https://doi.org/10.1007/s13595-020-01008-1</w:t>
        </w:r>
      </w:hyperlink>
    </w:p>
    <w:bookmarkEnd w:id="71"/>
    <w:bookmarkStart w:id="73"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2">
        <w:r>
          <w:rPr>
            <w:rStyle w:val="Hyperlink"/>
          </w:rPr>
          <w:t xml:space="preserve">https://doi.org/10.1016/j.catena.2020.104936</w:t>
        </w:r>
      </w:hyperlink>
    </w:p>
    <w:bookmarkEnd w:id="73"/>
    <w:bookmarkStart w:id="75"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4">
        <w:r>
          <w:rPr>
            <w:rStyle w:val="Hyperlink"/>
          </w:rPr>
          <w:t xml:space="preserve">https://doi.org/10.1016/j.agrformet.2016.06.010</w:t>
        </w:r>
      </w:hyperlink>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0" Target="media/rId50.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07/s13595-020-01008-1" TargetMode="External" /><Relationship Type="http://schemas.openxmlformats.org/officeDocument/2006/relationships/hyperlink" Id="rId74" Target="https://doi.org/10.1016/j.agrformet.2016.06.010" TargetMode="External" /><Relationship Type="http://schemas.openxmlformats.org/officeDocument/2006/relationships/hyperlink" Id="rId72" Target="https://doi.org/10.1016/j.catena.2020.104936"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62"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07/s13595-020-01008-1" TargetMode="External" /><Relationship Type="http://schemas.openxmlformats.org/officeDocument/2006/relationships/hyperlink" Id="rId74" Target="https://doi.org/10.1016/j.agrformet.2016.06.010" TargetMode="External" /><Relationship Type="http://schemas.openxmlformats.org/officeDocument/2006/relationships/hyperlink" Id="rId72" Target="https://doi.org/10.1016/j.catena.2020.104936"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0" Target="https://doi.org/10.1111/j.1365-2486.2005.001012.x" TargetMode="External" /><Relationship Type="http://schemas.openxmlformats.org/officeDocument/2006/relationships/hyperlink" Id="rId62"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2020-12-07T22:18:48Z</dcterms:created>
  <dcterms:modified xsi:type="dcterms:W3CDTF">2020-12-07T22:18:48Z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